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5E" w:rsidRDefault="000C7B5E" w:rsidP="000C7B5E">
      <w:pPr>
        <w:spacing w:after="200" w:line="276" w:lineRule="auto"/>
        <w:ind w:left="567" w:right="567"/>
        <w:rPr>
          <w:b/>
          <w:sz w:val="32"/>
          <w:szCs w:val="32"/>
        </w:rPr>
      </w:pPr>
    </w:p>
    <w:p w:rsidR="000C7B5E" w:rsidRDefault="000C7B5E" w:rsidP="000C7B5E">
      <w:pPr>
        <w:spacing w:after="200" w:line="276" w:lineRule="auto"/>
        <w:ind w:left="567" w:right="567"/>
        <w:rPr>
          <w:b/>
          <w:sz w:val="32"/>
          <w:szCs w:val="32"/>
        </w:rPr>
      </w:pPr>
    </w:p>
    <w:p w:rsidR="000C7B5E" w:rsidRDefault="000C7B5E" w:rsidP="000C7B5E">
      <w:pPr>
        <w:spacing w:after="200" w:line="276" w:lineRule="auto"/>
        <w:ind w:left="567" w:right="567"/>
        <w:rPr>
          <w:b/>
          <w:sz w:val="32"/>
          <w:szCs w:val="32"/>
        </w:rPr>
      </w:pPr>
    </w:p>
    <w:p w:rsidR="000C7B5E" w:rsidRDefault="000C7B5E" w:rsidP="000C7B5E">
      <w:pPr>
        <w:spacing w:after="200" w:line="276" w:lineRule="auto"/>
        <w:ind w:left="567" w:right="567"/>
        <w:rPr>
          <w:b/>
          <w:sz w:val="32"/>
          <w:szCs w:val="32"/>
        </w:rPr>
      </w:pPr>
    </w:p>
    <w:p w:rsidR="000C7B5E" w:rsidRDefault="000C7B5E" w:rsidP="000C7B5E">
      <w:pPr>
        <w:spacing w:after="200" w:line="276" w:lineRule="auto"/>
        <w:ind w:left="567" w:right="567"/>
      </w:pPr>
    </w:p>
    <w:p w:rsidR="000C7B5E" w:rsidRDefault="000C7B5E" w:rsidP="000C7B5E">
      <w:pPr>
        <w:spacing w:after="200" w:line="276" w:lineRule="auto"/>
        <w:ind w:left="567" w:right="567"/>
      </w:pPr>
      <w:r>
        <w:rPr>
          <w:noProof/>
        </w:rPr>
        <w:pict>
          <v:roundrect id="_x0000_s1028" style="position:absolute;left:0;text-align:left;margin-left:95.8pt;margin-top:-4.8pt;width:411pt;height:190.65pt;z-index:-251655168" arcsize="10923f"/>
        </w:pict>
      </w:r>
    </w:p>
    <w:p w:rsidR="000C7B5E" w:rsidRPr="001545A4" w:rsidRDefault="000C7B5E" w:rsidP="000C7B5E">
      <w:pPr>
        <w:ind w:left="567" w:right="567"/>
        <w:jc w:val="center"/>
        <w:rPr>
          <w:b/>
          <w:sz w:val="32"/>
          <w:szCs w:val="32"/>
        </w:rPr>
      </w:pPr>
      <w:r>
        <w:tab/>
      </w:r>
      <w:r w:rsidRPr="001545A4">
        <w:rPr>
          <w:b/>
          <w:sz w:val="32"/>
          <w:szCs w:val="32"/>
        </w:rPr>
        <w:t>Taxe d’apprentissage - Projet n°1</w:t>
      </w:r>
    </w:p>
    <w:p w:rsidR="000C7B5E" w:rsidRPr="001545A4" w:rsidRDefault="000C7B5E" w:rsidP="000C7B5E">
      <w:pPr>
        <w:ind w:left="567" w:right="567"/>
        <w:jc w:val="center"/>
        <w:rPr>
          <w:b/>
          <w:sz w:val="32"/>
          <w:szCs w:val="32"/>
        </w:rPr>
      </w:pPr>
    </w:p>
    <w:p w:rsidR="000C7B5E" w:rsidRPr="001545A4" w:rsidRDefault="000C7B5E" w:rsidP="000C7B5E">
      <w:pPr>
        <w:ind w:left="567" w:right="567"/>
        <w:jc w:val="center"/>
        <w:rPr>
          <w:b/>
          <w:sz w:val="32"/>
          <w:szCs w:val="32"/>
        </w:rPr>
      </w:pPr>
    </w:p>
    <w:p w:rsidR="000C7B5E" w:rsidRPr="001545A4" w:rsidRDefault="000C7B5E" w:rsidP="000C7B5E">
      <w:pPr>
        <w:ind w:left="567" w:right="567"/>
        <w:jc w:val="center"/>
        <w:rPr>
          <w:b/>
          <w:sz w:val="32"/>
          <w:szCs w:val="32"/>
        </w:rPr>
      </w:pPr>
    </w:p>
    <w:p w:rsidR="000C7B5E" w:rsidRPr="001545A4" w:rsidRDefault="000C7B5E" w:rsidP="000C7B5E">
      <w:pPr>
        <w:ind w:left="567" w:right="567"/>
        <w:jc w:val="center"/>
        <w:rPr>
          <w:b/>
          <w:sz w:val="32"/>
          <w:szCs w:val="32"/>
        </w:rPr>
      </w:pPr>
      <w:r w:rsidRPr="001545A4">
        <w:rPr>
          <w:b/>
          <w:sz w:val="32"/>
          <w:szCs w:val="32"/>
        </w:rPr>
        <w:t>Projet mer, plongée et formation</w:t>
      </w:r>
    </w:p>
    <w:p w:rsidR="000C7B5E" w:rsidRDefault="000C7B5E" w:rsidP="000C7B5E">
      <w:pPr>
        <w:tabs>
          <w:tab w:val="left" w:pos="4101"/>
        </w:tabs>
        <w:spacing w:after="200" w:line="276" w:lineRule="auto"/>
        <w:ind w:left="567" w:right="567"/>
      </w:pPr>
    </w:p>
    <w:p w:rsidR="000C7B5E" w:rsidRDefault="000C7B5E" w:rsidP="000C7B5E">
      <w:pPr>
        <w:spacing w:after="200" w:line="276" w:lineRule="auto"/>
        <w:ind w:left="567" w:right="567"/>
      </w:pPr>
    </w:p>
    <w:p w:rsidR="000C7B5E" w:rsidRDefault="000C7B5E" w:rsidP="000C7B5E">
      <w:pPr>
        <w:spacing w:after="200" w:line="276" w:lineRule="auto"/>
        <w:ind w:left="567" w:right="567"/>
      </w:pPr>
    </w:p>
    <w:p w:rsidR="000C7B5E" w:rsidRDefault="000C7B5E" w:rsidP="000C7B5E">
      <w:pPr>
        <w:spacing w:after="200" w:line="276" w:lineRule="auto"/>
        <w:ind w:left="567" w:right="567"/>
      </w:pPr>
    </w:p>
    <w:p w:rsidR="000C7B5E" w:rsidRDefault="000C7B5E" w:rsidP="000C7B5E">
      <w:pPr>
        <w:spacing w:after="200" w:line="276" w:lineRule="auto"/>
        <w:ind w:left="567" w:right="567"/>
      </w:pPr>
    </w:p>
    <w:p w:rsidR="000C7B5E" w:rsidRDefault="000C7B5E" w:rsidP="000C7B5E">
      <w:pPr>
        <w:spacing w:after="200" w:line="276" w:lineRule="auto"/>
        <w:ind w:left="567" w:right="567"/>
      </w:pPr>
    </w:p>
    <w:p w:rsidR="000C7B5E" w:rsidRDefault="000C7B5E">
      <w:pPr>
        <w:spacing w:after="200" w:line="276" w:lineRule="auto"/>
      </w:pPr>
      <w:r>
        <w:br w:type="page"/>
      </w:r>
    </w:p>
    <w:p w:rsidR="000C7B5E" w:rsidRDefault="000C7B5E" w:rsidP="000C7B5E">
      <w:pPr>
        <w:spacing w:after="200" w:line="276" w:lineRule="auto"/>
        <w:ind w:left="567" w:right="567"/>
      </w:pPr>
    </w:p>
    <w:p w:rsidR="000C7B5E" w:rsidRDefault="000C7B5E" w:rsidP="000C7B5E">
      <w:pPr>
        <w:ind w:left="567" w:right="567"/>
        <w:rPr>
          <w:b/>
          <w:u w:val="single"/>
        </w:rPr>
      </w:pPr>
      <w:r>
        <w:rPr>
          <w:b/>
          <w:u w:val="single"/>
        </w:rPr>
        <w:t xml:space="preserve">Projet mer, </w:t>
      </w:r>
      <w:r w:rsidRPr="00240590">
        <w:rPr>
          <w:b/>
          <w:u w:val="single"/>
        </w:rPr>
        <w:t>plongée</w:t>
      </w:r>
      <w:r>
        <w:rPr>
          <w:b/>
          <w:u w:val="single"/>
        </w:rPr>
        <w:t xml:space="preserve"> et formation</w:t>
      </w:r>
    </w:p>
    <w:p w:rsidR="000C7B5E" w:rsidRPr="00240590" w:rsidRDefault="000C7B5E" w:rsidP="000C7B5E">
      <w:pPr>
        <w:ind w:left="567" w:right="567"/>
        <w:rPr>
          <w:b/>
          <w:u w:val="single"/>
        </w:rPr>
      </w:pPr>
    </w:p>
    <w:p w:rsidR="000C7B5E" w:rsidRDefault="000C7B5E" w:rsidP="000C7B5E">
      <w:pPr>
        <w:ind w:left="567" w:right="567"/>
        <w:jc w:val="both"/>
        <w:rPr>
          <w:iCs/>
        </w:rPr>
      </w:pPr>
      <w:r>
        <w:rPr>
          <w:iCs/>
        </w:rPr>
        <w:t xml:space="preserve">Objectifs : </w:t>
      </w:r>
      <w:r>
        <w:t>Depuis septembre 2017, le Lycée professionnel agricole des Calanques propose un Bac Pro « Gestion des Milieux Naturels et de la Faune » (GMNF). Ce Bac Pro GMNF est le seul en France à proposer la spécialité « Mer et littoral ». Ce parcours pédagogique, de la classe de 2</w:t>
      </w:r>
      <w:r w:rsidRPr="005A3701">
        <w:rPr>
          <w:vertAlign w:val="superscript"/>
        </w:rPr>
        <w:t>nde</w:t>
      </w:r>
      <w:r>
        <w:t xml:space="preserve"> à la Terminale,</w:t>
      </w:r>
      <w:r w:rsidRPr="0019234F">
        <w:t xml:space="preserve"> a pour objectif de former les apprenants aux différentes étapes de travail rencontrées dans les missions propres aux professions de la gestion des milieux naturels en zone littorale (inventaires, diagnostics initiaux de biocénoses marines, suivis de populations, </w:t>
      </w:r>
      <w:r>
        <w:t xml:space="preserve">animations pédagogiques, </w:t>
      </w:r>
      <w:r w:rsidRPr="0019234F">
        <w:t>etc.).</w:t>
      </w:r>
    </w:p>
    <w:p w:rsidR="000C7B5E" w:rsidRDefault="000C7B5E" w:rsidP="000C7B5E">
      <w:pPr>
        <w:ind w:left="567" w:right="567"/>
        <w:jc w:val="both"/>
        <w:rPr>
          <w:iCs/>
        </w:rPr>
      </w:pPr>
    </w:p>
    <w:p w:rsidR="000C7B5E" w:rsidRPr="00FD2FAD" w:rsidRDefault="000C7B5E" w:rsidP="000C7B5E">
      <w:pPr>
        <w:ind w:left="567" w:right="567"/>
        <w:jc w:val="both"/>
      </w:pPr>
      <w:r>
        <w:rPr>
          <w:iCs/>
        </w:rPr>
        <w:t>Ils doivent ê</w:t>
      </w:r>
      <w:r w:rsidRPr="00FD2FAD">
        <w:rPr>
          <w:iCs/>
        </w:rPr>
        <w:t>tre capable</w:t>
      </w:r>
      <w:r>
        <w:rPr>
          <w:iCs/>
        </w:rPr>
        <w:t>s</w:t>
      </w:r>
      <w:r w:rsidRPr="00FD2FAD">
        <w:rPr>
          <w:iCs/>
        </w:rPr>
        <w:t xml:space="preserve"> d'élaborer, de planifier, de réaliser </w:t>
      </w:r>
      <w:r w:rsidRPr="008149B3">
        <w:rPr>
          <w:i/>
          <w:iCs/>
        </w:rPr>
        <w:t>in situ</w:t>
      </w:r>
      <w:r w:rsidRPr="00FD2FAD">
        <w:rPr>
          <w:iCs/>
        </w:rPr>
        <w:t xml:space="preserve"> et de restituer un diagnostic des écosystèmes marins d’un site littoral en lien avec des problématiques de gestion</w:t>
      </w:r>
      <w:r>
        <w:rPr>
          <w:iCs/>
        </w:rPr>
        <w:t>.</w:t>
      </w:r>
    </w:p>
    <w:p w:rsidR="000C7B5E" w:rsidRPr="00230ADD" w:rsidRDefault="000C7B5E" w:rsidP="000C7B5E">
      <w:pPr>
        <w:ind w:left="567" w:right="567"/>
      </w:pPr>
    </w:p>
    <w:p w:rsidR="000C7B5E" w:rsidRDefault="000C7B5E" w:rsidP="000C7B5E">
      <w:pPr>
        <w:ind w:left="567" w:right="567"/>
        <w:jc w:val="both"/>
      </w:pPr>
      <w:r w:rsidRPr="008B411C">
        <w:rPr>
          <w:u w:val="single"/>
        </w:rPr>
        <w:t>Résumé de l’action</w:t>
      </w:r>
      <w:r>
        <w:t xml:space="preserve"> :</w:t>
      </w:r>
    </w:p>
    <w:p w:rsidR="000C7B5E" w:rsidRDefault="000C7B5E" w:rsidP="000C7B5E">
      <w:pPr>
        <w:ind w:left="567" w:right="567"/>
        <w:jc w:val="both"/>
      </w:pPr>
      <w:r w:rsidRPr="0019234F">
        <w:t>Les spécificités techniques du milieu marin sont abordées, en insistant sur les compétences permettant de mettre en œuvre les outils professionnels dans le respect des règles de sécurité pour l’individu et son équipe lors des missions en mer.</w:t>
      </w:r>
    </w:p>
    <w:p w:rsidR="000C7B5E" w:rsidRDefault="000C7B5E" w:rsidP="000C7B5E">
      <w:pPr>
        <w:ind w:left="567" w:right="567"/>
        <w:jc w:val="both"/>
      </w:pPr>
    </w:p>
    <w:p w:rsidR="000C7B5E" w:rsidRDefault="000C7B5E" w:rsidP="000C7B5E">
      <w:pPr>
        <w:ind w:left="567" w:right="567"/>
        <w:jc w:val="both"/>
      </w:pPr>
      <w:r>
        <w:t>Les travaux pratiques sont réalisés sur le littoral et en mer. Ils consistent d’une part en l’acquisition des compétences nécessaires à l’exploration du milieu littoral marin (randonnée palmée, plongée en scaphandre, permis bateau) ; et d’autre part en l’acquisition des méthodes nécessaires à l’étude et aux suivis des écosystèmes (ex : techniques d’inventaires de la faune et flore sous-marine) (Photos 1 et 2).</w:t>
      </w:r>
    </w:p>
    <w:p w:rsidR="000C7B5E" w:rsidRDefault="000C7B5E" w:rsidP="000C7B5E">
      <w:pPr>
        <w:ind w:left="567" w:right="567"/>
      </w:pPr>
    </w:p>
    <w:tbl>
      <w:tblPr>
        <w:tblStyle w:val="Grilledutableau"/>
        <w:tblW w:w="0" w:type="auto"/>
        <w:tblLook w:val="04A0"/>
      </w:tblPr>
      <w:tblGrid>
        <w:gridCol w:w="5319"/>
        <w:gridCol w:w="5319"/>
      </w:tblGrid>
      <w:tr w:rsidR="000C7B5E" w:rsidTr="005E2A77">
        <w:tc>
          <w:tcPr>
            <w:tcW w:w="4606" w:type="dxa"/>
          </w:tcPr>
          <w:p w:rsidR="000C7B5E" w:rsidRDefault="000C7B5E" w:rsidP="000C7B5E">
            <w:pPr>
              <w:ind w:left="567" w:right="567"/>
              <w:jc w:val="center"/>
            </w:pPr>
            <w:r>
              <w:rPr>
                <w:noProof/>
              </w:rPr>
              <w:drawing>
                <wp:inline distT="0" distB="0" distL="0" distR="0">
                  <wp:extent cx="2520000" cy="18900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tie_PMT_ecosystemes_2ndeProENR (7).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2520000" cy="1890000"/>
                          </a:xfrm>
                          <a:prstGeom prst="rect">
                            <a:avLst/>
                          </a:prstGeom>
                        </pic:spPr>
                      </pic:pic>
                    </a:graphicData>
                  </a:graphic>
                </wp:inline>
              </w:drawing>
            </w:r>
          </w:p>
        </w:tc>
        <w:tc>
          <w:tcPr>
            <w:tcW w:w="4606" w:type="dxa"/>
          </w:tcPr>
          <w:p w:rsidR="000C7B5E" w:rsidRDefault="000C7B5E" w:rsidP="000C7B5E">
            <w:pPr>
              <w:ind w:left="567" w:right="567"/>
            </w:pPr>
            <w:r>
              <w:rPr>
                <w:noProof/>
              </w:rPr>
              <w:drawing>
                <wp:inline distT="0" distB="0" distL="0" distR="0">
                  <wp:extent cx="2520000" cy="1890000"/>
                  <wp:effectExtent l="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00.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2520000" cy="1890000"/>
                          </a:xfrm>
                          <a:prstGeom prst="rect">
                            <a:avLst/>
                          </a:prstGeom>
                        </pic:spPr>
                      </pic:pic>
                    </a:graphicData>
                  </a:graphic>
                </wp:inline>
              </w:drawing>
            </w:r>
          </w:p>
        </w:tc>
      </w:tr>
      <w:tr w:rsidR="000C7B5E" w:rsidRPr="00343E61" w:rsidTr="005E2A77">
        <w:tc>
          <w:tcPr>
            <w:tcW w:w="4606" w:type="dxa"/>
          </w:tcPr>
          <w:p w:rsidR="000C7B5E" w:rsidRPr="00343E61" w:rsidRDefault="000C7B5E" w:rsidP="000C7B5E">
            <w:pPr>
              <w:ind w:left="567" w:right="567"/>
              <w:jc w:val="center"/>
              <w:rPr>
                <w:sz w:val="20"/>
              </w:rPr>
            </w:pPr>
            <w:r>
              <w:rPr>
                <w:sz w:val="20"/>
              </w:rPr>
              <w:t xml:space="preserve">Photo 1 : </w:t>
            </w:r>
            <w:r w:rsidRPr="00343E61">
              <w:rPr>
                <w:sz w:val="20"/>
              </w:rPr>
              <w:t>Apprentissage des techniques d’inventaires de la faune sous-marine</w:t>
            </w:r>
          </w:p>
        </w:tc>
        <w:tc>
          <w:tcPr>
            <w:tcW w:w="4606" w:type="dxa"/>
          </w:tcPr>
          <w:p w:rsidR="000C7B5E" w:rsidRPr="00343E61" w:rsidRDefault="000C7B5E" w:rsidP="000C7B5E">
            <w:pPr>
              <w:ind w:left="567" w:right="567"/>
              <w:jc w:val="center"/>
              <w:rPr>
                <w:sz w:val="20"/>
              </w:rPr>
            </w:pPr>
            <w:r>
              <w:rPr>
                <w:sz w:val="20"/>
              </w:rPr>
              <w:t xml:space="preserve">Photo 2 : </w:t>
            </w:r>
            <w:r w:rsidRPr="00343E61">
              <w:rPr>
                <w:sz w:val="20"/>
              </w:rPr>
              <w:t>Formation à la plongée sous-marine en scaphandre autonome</w:t>
            </w:r>
          </w:p>
        </w:tc>
      </w:tr>
    </w:tbl>
    <w:p w:rsidR="000C7B5E" w:rsidRDefault="000C7B5E" w:rsidP="000C7B5E">
      <w:pPr>
        <w:ind w:left="567" w:right="567"/>
        <w:jc w:val="both"/>
      </w:pPr>
    </w:p>
    <w:p w:rsidR="000C7B5E" w:rsidRDefault="000C7B5E" w:rsidP="000C7B5E">
      <w:pPr>
        <w:ind w:left="567" w:right="567"/>
        <w:jc w:val="both"/>
      </w:pPr>
      <w:r>
        <w:t xml:space="preserve">Ces travaux pratiques marins nécessitent un accès à la mer aisé et la mobilisation et l’entretien du matériel professionnel adéquat : navire, matériel de plongée individuel (combinaisons, bouteilles, gilets stabilisateurs, détendeurs, etc.), station de gonflage (containeur, compresseur, etc.). </w:t>
      </w:r>
    </w:p>
    <w:p w:rsidR="000C7B5E" w:rsidRDefault="000C7B5E" w:rsidP="000C7B5E">
      <w:pPr>
        <w:ind w:left="567" w:right="567"/>
      </w:pPr>
    </w:p>
    <w:p w:rsidR="000C7B5E" w:rsidRDefault="000C7B5E" w:rsidP="000C7B5E">
      <w:pPr>
        <w:ind w:left="567" w:right="567"/>
        <w:rPr>
          <w:u w:val="single"/>
        </w:rPr>
      </w:pPr>
    </w:p>
    <w:p w:rsidR="000C7B5E" w:rsidRDefault="000C7B5E" w:rsidP="000C7B5E">
      <w:pPr>
        <w:ind w:left="567" w:right="567"/>
        <w:rPr>
          <w:u w:val="single"/>
        </w:rPr>
      </w:pPr>
    </w:p>
    <w:p w:rsidR="000C7B5E" w:rsidRDefault="000C7B5E" w:rsidP="000C7B5E">
      <w:pPr>
        <w:ind w:left="567" w:right="567"/>
      </w:pPr>
      <w:r w:rsidRPr="00A06484">
        <w:rPr>
          <w:u w:val="single"/>
        </w:rPr>
        <w:t>Approche budgétaire</w:t>
      </w:r>
      <w:r>
        <w:t> : 116 000€ (bateau semi-rigide, remorque, compresseur, matériel de sécurité) + 40 440€ matériel de plongée.</w:t>
      </w:r>
    </w:p>
    <w:p w:rsidR="000C7B5E" w:rsidRDefault="000C7B5E" w:rsidP="000C7B5E">
      <w:pPr>
        <w:ind w:left="567" w:right="567"/>
      </w:pPr>
    </w:p>
    <w:p w:rsidR="000C7B5E" w:rsidRDefault="000C7B5E" w:rsidP="000C7B5E">
      <w:pPr>
        <w:ind w:left="567" w:right="567"/>
        <w:jc w:val="both"/>
      </w:pPr>
      <w:r>
        <w:t xml:space="preserve">Afin de pérenniser ces activités et le bon déroulement des enseignements notamment sur le volet pratique en mer, le Lycée souhaite investir dans du matériel dédié à ces formations. Ce même matériel serait également opportun dans le cadre de la mise en place d’une nouvelle section (« plongée sportive et secourisme »), à l’horizon de la rentrée 2019.     </w:t>
      </w:r>
    </w:p>
    <w:p w:rsidR="000C7B5E" w:rsidRDefault="000C7B5E" w:rsidP="000C7B5E">
      <w:pPr>
        <w:jc w:val="both"/>
      </w:pPr>
    </w:p>
    <w:p w:rsidR="000C7B5E" w:rsidRDefault="000C7B5E" w:rsidP="000C7B5E">
      <w:pPr>
        <w:jc w:val="both"/>
      </w:pPr>
    </w:p>
    <w:p w:rsidR="000C7B5E" w:rsidRDefault="000C7B5E" w:rsidP="000C7B5E">
      <w:pPr>
        <w:jc w:val="both"/>
      </w:pPr>
    </w:p>
    <w:p w:rsidR="000C7B5E" w:rsidRDefault="000C7B5E" w:rsidP="000C7B5E">
      <w:pPr>
        <w:jc w:val="center"/>
      </w:pPr>
      <w:r>
        <w:rPr>
          <w:noProof/>
        </w:rPr>
        <w:drawing>
          <wp:inline distT="0" distB="0" distL="0" distR="0">
            <wp:extent cx="3439768" cy="2600001"/>
            <wp:effectExtent l="171450" t="133350" r="370232" b="295599"/>
            <wp:docPr id="4" name="Image 3" descr="plongee selection J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ngee selection JB.jpeg"/>
                    <pic:cNvPicPr/>
                  </pic:nvPicPr>
                  <pic:blipFill>
                    <a:blip r:embed="rId8" cstate="print"/>
                    <a:stretch>
                      <a:fillRect/>
                    </a:stretch>
                  </pic:blipFill>
                  <pic:spPr>
                    <a:xfrm>
                      <a:off x="0" y="0"/>
                      <a:ext cx="3440991" cy="2600925"/>
                    </a:xfrm>
                    <a:prstGeom prst="rect">
                      <a:avLst/>
                    </a:prstGeom>
                    <a:ln>
                      <a:noFill/>
                    </a:ln>
                    <a:effectLst>
                      <a:outerShdw blurRad="292100" dist="139700" dir="2700000" algn="tl" rotWithShape="0">
                        <a:srgbClr val="333333">
                          <a:alpha val="65000"/>
                        </a:srgbClr>
                      </a:outerShdw>
                    </a:effectLst>
                  </pic:spPr>
                </pic:pic>
              </a:graphicData>
            </a:graphic>
          </wp:inline>
        </w:drawing>
      </w:r>
    </w:p>
    <w:p w:rsidR="000C7B5E" w:rsidRDefault="000C7B5E" w:rsidP="000C7B5E">
      <w:pPr>
        <w:jc w:val="both"/>
      </w:pPr>
    </w:p>
    <w:p w:rsidR="000C7B5E" w:rsidRDefault="000C7B5E" w:rsidP="000C7B5E">
      <w:pPr>
        <w:jc w:val="both"/>
      </w:pPr>
    </w:p>
    <w:p w:rsidR="000C7B5E" w:rsidRDefault="000C7B5E" w:rsidP="000C7B5E">
      <w:pPr>
        <w:jc w:val="both"/>
      </w:pPr>
    </w:p>
    <w:p w:rsidR="008738F2" w:rsidRDefault="008738F2" w:rsidP="000C7B5E">
      <w:pPr>
        <w:ind w:left="567" w:right="567"/>
      </w:pPr>
    </w:p>
    <w:sectPr w:rsidR="008738F2" w:rsidSect="009544AD">
      <w:headerReference w:type="even" r:id="rId9"/>
      <w:headerReference w:type="default" r:id="rId10"/>
      <w:footerReference w:type="even" r:id="rId11"/>
      <w:footerReference w:type="default" r:id="rId12"/>
      <w:headerReference w:type="first" r:id="rId13"/>
      <w:footerReference w:type="first" r:id="rId14"/>
      <w:pgSz w:w="11906" w:h="16838" w:code="9"/>
      <w:pgMar w:top="720" w:right="284" w:bottom="720" w:left="28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D2A" w:rsidRDefault="00114D2A" w:rsidP="009544AD">
      <w:r>
        <w:separator/>
      </w:r>
    </w:p>
  </w:endnote>
  <w:endnote w:type="continuationSeparator" w:id="0">
    <w:p w:rsidR="00114D2A" w:rsidRDefault="00114D2A" w:rsidP="00954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E1" w:rsidRDefault="007B5AE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AD" w:rsidRDefault="007B5AE1">
    <w:pPr>
      <w:pStyle w:val="Pieddepage"/>
    </w:pPr>
    <w:r>
      <w:rPr>
        <w:noProof/>
        <w:lang w:eastAsia="fr-FR"/>
      </w:rPr>
      <w:drawing>
        <wp:inline distT="0" distB="0" distL="0" distR="0">
          <wp:extent cx="7199630" cy="1114425"/>
          <wp:effectExtent l="19050" t="0" r="1270" b="0"/>
          <wp:docPr id="3" name="Image 2" descr="Exe-Entete de lettreLDC-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Entete de lettreLDC-OK.jpg"/>
                  <pic:cNvPicPr/>
                </pic:nvPicPr>
                <pic:blipFill>
                  <a:blip r:embed="rId1"/>
                  <a:stretch>
                    <a:fillRect/>
                  </a:stretch>
                </pic:blipFill>
                <pic:spPr>
                  <a:xfrm>
                    <a:off x="0" y="0"/>
                    <a:ext cx="7199630" cy="111442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E1" w:rsidRDefault="007B5A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D2A" w:rsidRDefault="00114D2A" w:rsidP="009544AD">
      <w:r>
        <w:separator/>
      </w:r>
    </w:p>
  </w:footnote>
  <w:footnote w:type="continuationSeparator" w:id="0">
    <w:p w:rsidR="00114D2A" w:rsidRDefault="00114D2A" w:rsidP="00954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E1" w:rsidRDefault="007B5AE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AD" w:rsidRDefault="009544AD">
    <w:pPr>
      <w:pStyle w:val="En-tte"/>
    </w:pPr>
    <w:r>
      <w:rPr>
        <w:noProof/>
        <w:lang w:eastAsia="fr-FR"/>
      </w:rPr>
      <w:drawing>
        <wp:inline distT="0" distB="0" distL="0" distR="0">
          <wp:extent cx="7162815" cy="1130810"/>
          <wp:effectExtent l="19050" t="0" r="0" b="0"/>
          <wp:docPr id="1" name="Image 0" descr="tet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 page.png"/>
                  <pic:cNvPicPr/>
                </pic:nvPicPr>
                <pic:blipFill>
                  <a:blip r:embed="rId1"/>
                  <a:stretch>
                    <a:fillRect/>
                  </a:stretch>
                </pic:blipFill>
                <pic:spPr>
                  <a:xfrm>
                    <a:off x="0" y="0"/>
                    <a:ext cx="7162815" cy="113081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E1" w:rsidRDefault="007B5AE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544AD"/>
    <w:rsid w:val="000C7B5E"/>
    <w:rsid w:val="00114D2A"/>
    <w:rsid w:val="004C0BD5"/>
    <w:rsid w:val="0052641E"/>
    <w:rsid w:val="00542874"/>
    <w:rsid w:val="006F5911"/>
    <w:rsid w:val="007B5AE1"/>
    <w:rsid w:val="00861157"/>
    <w:rsid w:val="008738F2"/>
    <w:rsid w:val="009544AD"/>
    <w:rsid w:val="00E523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5E"/>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0C7B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44AD"/>
    <w:pPr>
      <w:tabs>
        <w:tab w:val="center" w:pos="4536"/>
        <w:tab w:val="right" w:pos="9072"/>
      </w:tabs>
    </w:pPr>
    <w:rPr>
      <w:rFonts w:eastAsiaTheme="minorHAnsi"/>
      <w:sz w:val="22"/>
      <w:szCs w:val="22"/>
      <w:lang w:eastAsia="en-US"/>
    </w:rPr>
  </w:style>
  <w:style w:type="character" w:customStyle="1" w:styleId="En-tteCar">
    <w:name w:val="En-tête Car"/>
    <w:basedOn w:val="Policepardfaut"/>
    <w:link w:val="En-tte"/>
    <w:uiPriority w:val="99"/>
    <w:rsid w:val="009544AD"/>
  </w:style>
  <w:style w:type="paragraph" w:styleId="Pieddepage">
    <w:name w:val="footer"/>
    <w:basedOn w:val="Normal"/>
    <w:link w:val="PieddepageCar"/>
    <w:uiPriority w:val="99"/>
    <w:unhideWhenUsed/>
    <w:rsid w:val="009544AD"/>
    <w:pPr>
      <w:tabs>
        <w:tab w:val="center" w:pos="4536"/>
        <w:tab w:val="right" w:pos="9072"/>
      </w:tabs>
    </w:pPr>
    <w:rPr>
      <w:rFonts w:eastAsiaTheme="minorHAnsi"/>
      <w:sz w:val="22"/>
      <w:szCs w:val="22"/>
      <w:lang w:eastAsia="en-US"/>
    </w:rPr>
  </w:style>
  <w:style w:type="character" w:customStyle="1" w:styleId="PieddepageCar">
    <w:name w:val="Pied de page Car"/>
    <w:basedOn w:val="Policepardfaut"/>
    <w:link w:val="Pieddepage"/>
    <w:uiPriority w:val="99"/>
    <w:rsid w:val="009544AD"/>
  </w:style>
  <w:style w:type="paragraph" w:styleId="Textedebulles">
    <w:name w:val="Balloon Text"/>
    <w:basedOn w:val="Normal"/>
    <w:link w:val="TextedebullesCar"/>
    <w:uiPriority w:val="99"/>
    <w:semiHidden/>
    <w:unhideWhenUsed/>
    <w:rsid w:val="009544AD"/>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544AD"/>
    <w:rPr>
      <w:rFonts w:ascii="Tahoma" w:hAnsi="Tahoma" w:cs="Tahoma"/>
      <w:sz w:val="16"/>
      <w:szCs w:val="16"/>
    </w:rPr>
  </w:style>
  <w:style w:type="character" w:customStyle="1" w:styleId="Titre1Car">
    <w:name w:val="Titre 1 Car"/>
    <w:basedOn w:val="Policepardfaut"/>
    <w:link w:val="Titre1"/>
    <w:uiPriority w:val="9"/>
    <w:rsid w:val="000C7B5E"/>
    <w:rPr>
      <w:rFonts w:asciiTheme="majorHAnsi" w:eastAsiaTheme="majorEastAsia" w:hAnsiTheme="majorHAnsi" w:cstheme="majorBidi"/>
      <w:b/>
      <w:bCs/>
      <w:color w:val="365F91" w:themeColor="accent1" w:themeShade="BF"/>
      <w:sz w:val="28"/>
      <w:szCs w:val="28"/>
      <w:lang w:eastAsia="fr-FR"/>
    </w:rPr>
  </w:style>
  <w:style w:type="table" w:styleId="Grilledutableau">
    <w:name w:val="Table Grid"/>
    <w:basedOn w:val="TableauNormal"/>
    <w:uiPriority w:val="59"/>
    <w:rsid w:val="000C7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C7B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389</Words>
  <Characters>2144</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HEIDINGER</dc:creator>
  <cp:lastModifiedBy>com</cp:lastModifiedBy>
  <cp:revision>2</cp:revision>
  <dcterms:created xsi:type="dcterms:W3CDTF">2020-02-06T13:55:00Z</dcterms:created>
  <dcterms:modified xsi:type="dcterms:W3CDTF">2020-02-06T13:55:00Z</dcterms:modified>
</cp:coreProperties>
</file>